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122" w:rsidRPr="00095B6A" w:rsidRDefault="00A34122" w:rsidP="00A34122">
      <w:pPr>
        <w:spacing w:after="0" w:line="360" w:lineRule="auto"/>
        <w:jc w:val="both"/>
        <w:rPr>
          <w:rFonts w:ascii="Arial" w:eastAsia="Calibri" w:hAnsi="Arial" w:cs="Arial"/>
          <w:sz w:val="24"/>
          <w:szCs w:val="24"/>
        </w:rPr>
      </w:pPr>
      <w:r w:rsidRPr="00095B6A">
        <w:rPr>
          <w:rFonts w:ascii="Calibri" w:eastAsia="Calibri" w:hAnsi="Calibri" w:cs="Times New Roman"/>
          <w:noProof/>
          <w:sz w:val="24"/>
          <w:szCs w:val="24"/>
          <w:lang w:eastAsia="es-AR"/>
        </w:rPr>
        <w:drawing>
          <wp:inline distT="0" distB="0" distL="0" distR="0" wp14:anchorId="32514679" wp14:editId="730957A9">
            <wp:extent cx="2219325" cy="733425"/>
            <wp:effectExtent l="0" t="0" r="9525" b="9525"/>
            <wp:docPr id="1" name="Imagen 1" descr="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sologotipo_Defensor_B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733425"/>
                    </a:xfrm>
                    <a:prstGeom prst="rect">
                      <a:avLst/>
                    </a:prstGeom>
                    <a:noFill/>
                    <a:ln>
                      <a:noFill/>
                    </a:ln>
                  </pic:spPr>
                </pic:pic>
              </a:graphicData>
            </a:graphic>
          </wp:inline>
        </w:drawing>
      </w:r>
    </w:p>
    <w:p w:rsidR="00A34122" w:rsidRPr="00095B6A" w:rsidRDefault="00A34122" w:rsidP="00A34122">
      <w:pPr>
        <w:spacing w:after="0" w:line="360" w:lineRule="auto"/>
        <w:ind w:left="420" w:firstLine="4536"/>
        <w:jc w:val="both"/>
        <w:rPr>
          <w:rFonts w:ascii="Arial" w:eastAsia="Calibri" w:hAnsi="Arial" w:cs="Arial"/>
          <w:sz w:val="24"/>
          <w:szCs w:val="24"/>
        </w:rPr>
      </w:pPr>
      <w:r w:rsidRPr="00095B6A">
        <w:rPr>
          <w:rFonts w:ascii="Arial" w:eastAsia="Calibri" w:hAnsi="Arial" w:cs="Arial"/>
          <w:sz w:val="24"/>
          <w:szCs w:val="24"/>
        </w:rPr>
        <w:t xml:space="preserve">La Plata, </w:t>
      </w:r>
      <w:r w:rsidR="003F05F3">
        <w:rPr>
          <w:rFonts w:ascii="Arial" w:eastAsia="Calibri" w:hAnsi="Arial" w:cs="Arial"/>
          <w:sz w:val="24"/>
          <w:szCs w:val="24"/>
        </w:rPr>
        <w:t>19 de ene de 2017</w:t>
      </w:r>
    </w:p>
    <w:p w:rsidR="00A34122" w:rsidRPr="00095B6A" w:rsidRDefault="00A34122" w:rsidP="00A34122">
      <w:pPr>
        <w:spacing w:after="0" w:line="360" w:lineRule="auto"/>
        <w:jc w:val="both"/>
        <w:rPr>
          <w:rFonts w:ascii="Arial" w:eastAsia="Calibri" w:hAnsi="Arial" w:cs="Arial"/>
          <w:b/>
          <w:bCs/>
          <w:sz w:val="24"/>
          <w:szCs w:val="24"/>
        </w:rPr>
      </w:pPr>
    </w:p>
    <w:p w:rsidR="00A34122" w:rsidRDefault="00A34122" w:rsidP="00A34122">
      <w:pPr>
        <w:spacing w:after="0" w:line="360" w:lineRule="auto"/>
        <w:ind w:firstLine="1701"/>
        <w:jc w:val="both"/>
        <w:rPr>
          <w:rFonts w:ascii="Arial" w:eastAsia="Calibri" w:hAnsi="Arial" w:cs="Arial"/>
          <w:b/>
          <w:bCs/>
          <w:sz w:val="24"/>
          <w:szCs w:val="24"/>
        </w:rPr>
      </w:pPr>
    </w:p>
    <w:p w:rsidR="00A34122" w:rsidRPr="00C200D8" w:rsidRDefault="00A34122" w:rsidP="00A34122">
      <w:pPr>
        <w:spacing w:after="0" w:line="360" w:lineRule="auto"/>
        <w:jc w:val="both"/>
        <w:rPr>
          <w:rFonts w:ascii="Arial" w:eastAsia="Calibri" w:hAnsi="Arial" w:cs="Arial"/>
          <w:sz w:val="24"/>
          <w:szCs w:val="24"/>
        </w:rPr>
      </w:pPr>
      <w:r w:rsidRPr="00645675">
        <w:rPr>
          <w:rFonts w:ascii="Arial" w:eastAsia="Times New Roman" w:hAnsi="Arial" w:cs="Arial"/>
          <w:b/>
          <w:sz w:val="24"/>
          <w:szCs w:val="24"/>
          <w:lang w:val="es-ES_tradnl" w:eastAsia="es-ES_tradnl"/>
        </w:rPr>
        <w:t>VISTO</w:t>
      </w:r>
      <w:r w:rsidRPr="00645675">
        <w:rPr>
          <w:rFonts w:ascii="Arial" w:eastAsia="Times New Roman" w:hAnsi="Arial" w:cs="Arial"/>
          <w:sz w:val="24"/>
          <w:szCs w:val="24"/>
          <w:lang w:val="es-ES_tradnl" w:eastAsia="es-ES_tradnl"/>
        </w:rPr>
        <w:t xml:space="preserve"> El artículo 55 de la Constitución Provincial, los artículos 12, 27 y </w:t>
      </w:r>
      <w:proofErr w:type="spellStart"/>
      <w:r w:rsidRPr="00645675">
        <w:rPr>
          <w:rFonts w:ascii="Arial" w:eastAsia="Times New Roman" w:hAnsi="Arial" w:cs="Arial"/>
          <w:sz w:val="24"/>
          <w:szCs w:val="24"/>
          <w:lang w:val="es-ES_tradnl" w:eastAsia="es-ES_tradnl"/>
        </w:rPr>
        <w:t>ccdtes</w:t>
      </w:r>
      <w:proofErr w:type="spellEnd"/>
      <w:r w:rsidRPr="00645675">
        <w:rPr>
          <w:rFonts w:ascii="Arial" w:eastAsia="Times New Roman" w:hAnsi="Arial" w:cs="Arial"/>
          <w:sz w:val="24"/>
          <w:szCs w:val="24"/>
          <w:lang w:val="es-ES_tradnl" w:eastAsia="es-ES_tradnl"/>
        </w:rPr>
        <w:t xml:space="preserve"> de la Ley 13.834 del Defensor del Pueblo, el artículo 22 del Reglamento Interno de la Defensoría, </w:t>
      </w:r>
      <w:r>
        <w:rPr>
          <w:rFonts w:ascii="Arial" w:eastAsia="Times New Roman" w:hAnsi="Arial" w:cs="Arial"/>
          <w:sz w:val="24"/>
          <w:szCs w:val="24"/>
          <w:lang w:val="es-ES_tradnl" w:eastAsia="es-ES_tradnl"/>
        </w:rPr>
        <w:t>el</w:t>
      </w:r>
      <w:r w:rsidRPr="00645675">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E</w:t>
      </w:r>
      <w:r w:rsidRPr="00645675">
        <w:rPr>
          <w:rFonts w:ascii="Arial" w:eastAsia="Times New Roman" w:hAnsi="Arial" w:cs="Arial"/>
          <w:sz w:val="24"/>
          <w:szCs w:val="24"/>
          <w:lang w:val="es-ES_tradnl" w:eastAsia="es-ES_tradnl"/>
        </w:rPr>
        <w:t xml:space="preserve">xpediente </w:t>
      </w:r>
      <w:r w:rsidRPr="00645675">
        <w:rPr>
          <w:rFonts w:ascii="Arial" w:eastAsia="Times New Roman" w:hAnsi="Arial" w:cs="Arial"/>
          <w:sz w:val="24"/>
          <w:szCs w:val="24"/>
          <w:lang w:eastAsia="es-ES_tradnl"/>
        </w:rPr>
        <w:t>Nº</w:t>
      </w:r>
      <w:r>
        <w:rPr>
          <w:rFonts w:ascii="Arial" w:eastAsia="Times New Roman" w:hAnsi="Arial" w:cs="Arial"/>
          <w:sz w:val="24"/>
          <w:szCs w:val="24"/>
          <w:lang w:eastAsia="es-ES_tradnl"/>
        </w:rPr>
        <w:t xml:space="preserve"> 12870/16 </w:t>
      </w:r>
      <w:r w:rsidRPr="00C200D8">
        <w:rPr>
          <w:rFonts w:ascii="Arial" w:eastAsia="Calibri" w:hAnsi="Arial" w:cs="Arial"/>
          <w:sz w:val="24"/>
          <w:szCs w:val="24"/>
        </w:rPr>
        <w:t>y</w:t>
      </w:r>
      <w:r>
        <w:rPr>
          <w:rFonts w:ascii="Arial" w:eastAsia="Calibri" w:hAnsi="Arial" w:cs="Arial"/>
          <w:sz w:val="24"/>
          <w:szCs w:val="24"/>
        </w:rPr>
        <w:t>;</w:t>
      </w:r>
    </w:p>
    <w:p w:rsidR="00A34122" w:rsidRPr="00C200D8" w:rsidRDefault="00A34122" w:rsidP="00A34122">
      <w:pPr>
        <w:spacing w:after="0" w:line="360" w:lineRule="auto"/>
        <w:jc w:val="both"/>
        <w:rPr>
          <w:rFonts w:ascii="Arial" w:eastAsia="Calibri" w:hAnsi="Arial" w:cs="Arial"/>
          <w:b/>
          <w:bCs/>
          <w:sz w:val="24"/>
          <w:szCs w:val="24"/>
        </w:rPr>
      </w:pPr>
    </w:p>
    <w:p w:rsidR="00A34122" w:rsidRPr="00095B6A" w:rsidRDefault="00A34122" w:rsidP="00A34122">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CONSIDERANDO</w:t>
      </w:r>
    </w:p>
    <w:p w:rsidR="00A34122" w:rsidRDefault="00A34122" w:rsidP="00A34122">
      <w:pPr>
        <w:spacing w:after="0" w:line="360" w:lineRule="auto"/>
        <w:ind w:firstLine="1701"/>
        <w:jc w:val="both"/>
        <w:rPr>
          <w:rFonts w:ascii="Arial" w:eastAsia="Calibri" w:hAnsi="Arial" w:cs="Arial"/>
          <w:sz w:val="24"/>
          <w:szCs w:val="24"/>
        </w:rPr>
      </w:pPr>
    </w:p>
    <w:p w:rsidR="00A34122" w:rsidRPr="00095B6A" w:rsidRDefault="00A34122" w:rsidP="00A34122">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se inicia la actuación de referencia a raíz de la presentación realizada por </w:t>
      </w:r>
      <w:r>
        <w:rPr>
          <w:rFonts w:ascii="Arial" w:eastAsia="Calibri" w:hAnsi="Arial" w:cs="Arial"/>
          <w:sz w:val="24"/>
          <w:szCs w:val="24"/>
        </w:rPr>
        <w:t xml:space="preserve">la </w:t>
      </w:r>
      <w:r w:rsidRPr="00095B6A">
        <w:rPr>
          <w:rFonts w:ascii="Arial" w:eastAsia="Calibri" w:hAnsi="Arial" w:cs="Arial"/>
          <w:sz w:val="24"/>
          <w:szCs w:val="24"/>
        </w:rPr>
        <w:t>docente</w:t>
      </w:r>
      <w:r>
        <w:rPr>
          <w:rFonts w:ascii="Arial" w:eastAsia="Calibri" w:hAnsi="Arial" w:cs="Arial"/>
          <w:sz w:val="24"/>
          <w:szCs w:val="24"/>
        </w:rPr>
        <w:t xml:space="preserve"> </w:t>
      </w:r>
      <w:r w:rsidR="00372556">
        <w:rPr>
          <w:rFonts w:ascii="Arial" w:eastAsia="Calibri" w:hAnsi="Arial" w:cs="Arial"/>
          <w:sz w:val="24"/>
          <w:szCs w:val="24"/>
        </w:rPr>
        <w:t>S E</w:t>
      </w:r>
      <w:r w:rsidR="00A1549D">
        <w:rPr>
          <w:rFonts w:ascii="Arial" w:eastAsia="Calibri" w:hAnsi="Arial" w:cs="Arial"/>
          <w:sz w:val="24"/>
          <w:szCs w:val="24"/>
        </w:rPr>
        <w:t xml:space="preserve"> </w:t>
      </w:r>
      <w:r w:rsidR="00372556">
        <w:rPr>
          <w:rFonts w:ascii="Arial" w:eastAsia="Calibri" w:hAnsi="Arial" w:cs="Arial"/>
          <w:sz w:val="24"/>
          <w:szCs w:val="24"/>
        </w:rPr>
        <w:t>C</w:t>
      </w:r>
      <w:r>
        <w:rPr>
          <w:rFonts w:ascii="Arial" w:eastAsia="Calibri" w:hAnsi="Arial" w:cs="Arial"/>
          <w:sz w:val="24"/>
          <w:szCs w:val="24"/>
        </w:rPr>
        <w:t xml:space="preserve">, </w:t>
      </w:r>
      <w:r>
        <w:rPr>
          <w:rFonts w:ascii="Arial" w:eastAsia="Times New Roman" w:hAnsi="Arial" w:cs="Arial"/>
          <w:sz w:val="24"/>
          <w:szCs w:val="24"/>
          <w:lang w:eastAsia="es-ES"/>
        </w:rPr>
        <w:t>DNI</w:t>
      </w:r>
      <w:r w:rsidR="00372556">
        <w:rPr>
          <w:rFonts w:ascii="Arial" w:eastAsia="Times New Roman" w:hAnsi="Arial" w:cs="Arial"/>
          <w:sz w:val="24"/>
          <w:szCs w:val="24"/>
          <w:lang w:eastAsia="es-ES"/>
        </w:rPr>
        <w:t xml:space="preserve"> *****</w:t>
      </w:r>
      <w:r>
        <w:rPr>
          <w:rFonts w:ascii="Arial" w:eastAsia="Times New Roman" w:hAnsi="Arial" w:cs="Arial"/>
          <w:sz w:val="24"/>
          <w:szCs w:val="24"/>
          <w:lang w:eastAsia="es-ES"/>
        </w:rPr>
        <w:t>,</w:t>
      </w:r>
      <w:r>
        <w:rPr>
          <w:rFonts w:ascii="Arial" w:eastAsia="Calibri" w:hAnsi="Arial" w:cs="Arial"/>
          <w:sz w:val="24"/>
          <w:szCs w:val="24"/>
        </w:rPr>
        <w:t xml:space="preserve"> </w:t>
      </w:r>
      <w:r w:rsidRPr="00095B6A">
        <w:rPr>
          <w:rFonts w:ascii="Arial" w:eastAsia="Calibri" w:hAnsi="Arial" w:cs="Arial"/>
          <w:sz w:val="24"/>
          <w:szCs w:val="24"/>
        </w:rPr>
        <w:t>quien reclam</w:t>
      </w:r>
      <w:r>
        <w:rPr>
          <w:rFonts w:ascii="Arial" w:eastAsia="Calibri" w:hAnsi="Arial" w:cs="Arial"/>
          <w:sz w:val="24"/>
          <w:szCs w:val="24"/>
        </w:rPr>
        <w:t>a</w:t>
      </w:r>
      <w:r w:rsidRPr="00095B6A">
        <w:rPr>
          <w:rFonts w:ascii="Arial" w:eastAsia="Calibri" w:hAnsi="Arial" w:cs="Arial"/>
          <w:sz w:val="24"/>
          <w:szCs w:val="24"/>
        </w:rPr>
        <w:t xml:space="preserve"> un excesivo retraso en la finalización de su trámite jubilatorio, por parte de la Dirección de Jubilaciones y Certificaciones de la Dirección General de Cultura y Educación de la Provincia de Buenos Aires.</w:t>
      </w:r>
    </w:p>
    <w:p w:rsidR="00A34122" w:rsidRDefault="00A34122" w:rsidP="00A34122">
      <w:pPr>
        <w:spacing w:after="0" w:line="360" w:lineRule="auto"/>
        <w:ind w:firstLine="1701"/>
        <w:jc w:val="both"/>
        <w:rPr>
          <w:rFonts w:ascii="Arial" w:eastAsia="Calibri" w:hAnsi="Arial" w:cs="Arial"/>
          <w:sz w:val="24"/>
          <w:szCs w:val="24"/>
        </w:rPr>
      </w:pPr>
    </w:p>
    <w:p w:rsidR="00A34122" w:rsidRDefault="00A34122" w:rsidP="00A34122">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dicho expediente </w:t>
      </w:r>
      <w:r>
        <w:rPr>
          <w:rFonts w:ascii="Arial" w:eastAsia="Calibri" w:hAnsi="Arial" w:cs="Arial"/>
          <w:sz w:val="24"/>
          <w:szCs w:val="24"/>
        </w:rPr>
        <w:t xml:space="preserve">que tramita bajo </w:t>
      </w:r>
      <w:r w:rsidR="00A1549D">
        <w:rPr>
          <w:rFonts w:ascii="Arial" w:eastAsia="Calibri" w:hAnsi="Arial" w:cs="Arial"/>
          <w:sz w:val="24"/>
          <w:szCs w:val="24"/>
        </w:rPr>
        <w:t xml:space="preserve">el N° </w:t>
      </w:r>
      <w:r>
        <w:rPr>
          <w:rFonts w:ascii="Arial" w:eastAsia="Calibri" w:hAnsi="Arial" w:cs="Arial"/>
          <w:sz w:val="24"/>
          <w:szCs w:val="24"/>
        </w:rPr>
        <w:t xml:space="preserve">05826-02049664-2012, </w:t>
      </w:r>
      <w:r w:rsidRPr="00095B6A">
        <w:rPr>
          <w:rFonts w:ascii="Arial" w:eastAsia="Calibri" w:hAnsi="Arial" w:cs="Arial"/>
          <w:sz w:val="24"/>
          <w:szCs w:val="24"/>
        </w:rPr>
        <w:t xml:space="preserve">se encuentra </w:t>
      </w:r>
      <w:r>
        <w:rPr>
          <w:rFonts w:ascii="Arial" w:eastAsia="Calibri" w:hAnsi="Arial" w:cs="Arial"/>
          <w:sz w:val="24"/>
          <w:szCs w:val="24"/>
        </w:rPr>
        <w:t xml:space="preserve">retrasado </w:t>
      </w:r>
      <w:r w:rsidRPr="00095B6A">
        <w:rPr>
          <w:rFonts w:ascii="Arial" w:eastAsia="Calibri" w:hAnsi="Arial" w:cs="Arial"/>
          <w:sz w:val="24"/>
          <w:szCs w:val="24"/>
        </w:rPr>
        <w:t xml:space="preserve">en </w:t>
      </w:r>
      <w:r>
        <w:rPr>
          <w:rFonts w:ascii="Arial" w:eastAsia="Calibri" w:hAnsi="Arial" w:cs="Arial"/>
          <w:sz w:val="24"/>
          <w:szCs w:val="24"/>
        </w:rPr>
        <w:t>Departamento de Códigos de la Dirección antes mencionada</w:t>
      </w:r>
      <w:r w:rsidR="00A1549D">
        <w:rPr>
          <w:rFonts w:ascii="Arial" w:eastAsia="Calibri" w:hAnsi="Arial" w:cs="Arial"/>
          <w:sz w:val="24"/>
          <w:szCs w:val="24"/>
        </w:rPr>
        <w:t xml:space="preserve"> desde el 01.07.2016</w:t>
      </w:r>
      <w:r w:rsidRPr="00095B6A">
        <w:rPr>
          <w:rFonts w:ascii="Arial" w:eastAsia="Calibri" w:hAnsi="Arial" w:cs="Arial"/>
          <w:sz w:val="24"/>
          <w:szCs w:val="24"/>
        </w:rPr>
        <w:t xml:space="preserve">, </w:t>
      </w:r>
      <w:r w:rsidR="00A1549D">
        <w:rPr>
          <w:rFonts w:ascii="Arial" w:eastAsia="Calibri" w:hAnsi="Arial" w:cs="Arial"/>
          <w:sz w:val="24"/>
          <w:szCs w:val="24"/>
        </w:rPr>
        <w:t>razón por la cual el</w:t>
      </w:r>
      <w:r w:rsidRPr="00095B6A">
        <w:rPr>
          <w:rFonts w:ascii="Arial" w:eastAsia="Calibri" w:hAnsi="Arial" w:cs="Arial"/>
          <w:sz w:val="24"/>
          <w:szCs w:val="24"/>
        </w:rPr>
        <w:t xml:space="preserve"> reclamante</w:t>
      </w:r>
      <w:r w:rsidR="00A1549D">
        <w:rPr>
          <w:rFonts w:ascii="Arial" w:eastAsia="Calibri" w:hAnsi="Arial" w:cs="Arial"/>
          <w:sz w:val="24"/>
          <w:szCs w:val="24"/>
        </w:rPr>
        <w:t xml:space="preserve"> solicita</w:t>
      </w:r>
      <w:r w:rsidRPr="00095B6A">
        <w:rPr>
          <w:rFonts w:ascii="Arial" w:eastAsia="Calibri" w:hAnsi="Arial" w:cs="Arial"/>
          <w:sz w:val="24"/>
          <w:szCs w:val="24"/>
        </w:rPr>
        <w:t xml:space="preserve"> que se finalice su certifica</w:t>
      </w:r>
      <w:r w:rsidR="00A1549D">
        <w:rPr>
          <w:rFonts w:ascii="Arial" w:eastAsia="Calibri" w:hAnsi="Arial" w:cs="Arial"/>
          <w:sz w:val="24"/>
          <w:szCs w:val="24"/>
        </w:rPr>
        <w:t xml:space="preserve">ción </w:t>
      </w:r>
      <w:r w:rsidRPr="00095B6A">
        <w:rPr>
          <w:rFonts w:ascii="Arial" w:eastAsia="Calibri" w:hAnsi="Arial" w:cs="Arial"/>
          <w:sz w:val="24"/>
          <w:szCs w:val="24"/>
        </w:rPr>
        <w:t>de servicio</w:t>
      </w:r>
      <w:r w:rsidR="00A1549D">
        <w:rPr>
          <w:rFonts w:ascii="Arial" w:eastAsia="Calibri" w:hAnsi="Arial" w:cs="Arial"/>
          <w:sz w:val="24"/>
          <w:szCs w:val="24"/>
        </w:rPr>
        <w:t>s</w:t>
      </w:r>
      <w:r w:rsidRPr="00095B6A">
        <w:rPr>
          <w:rFonts w:ascii="Arial" w:eastAsia="Calibri" w:hAnsi="Arial" w:cs="Arial"/>
          <w:sz w:val="24"/>
          <w:szCs w:val="24"/>
        </w:rPr>
        <w:t xml:space="preserve"> y cese laboral, para que una vez concluido dicho trámite, el llamado código jubilatorio, pueda ser presentado ante el Instituto de Previsión Social de la Provincia de Buenos Aires (IPS) para obtener su jubilación definitiva. </w:t>
      </w:r>
    </w:p>
    <w:p w:rsidR="00A34122" w:rsidRPr="00095B6A" w:rsidRDefault="00A34122" w:rsidP="00A34122">
      <w:pPr>
        <w:spacing w:after="0" w:line="360" w:lineRule="auto"/>
        <w:ind w:firstLine="1701"/>
        <w:jc w:val="both"/>
        <w:rPr>
          <w:rFonts w:ascii="Arial" w:eastAsia="Calibri" w:hAnsi="Arial" w:cs="Arial"/>
          <w:sz w:val="24"/>
          <w:szCs w:val="24"/>
        </w:rPr>
      </w:pPr>
    </w:p>
    <w:p w:rsidR="00A34122" w:rsidRDefault="00A34122" w:rsidP="00A34122">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por otra parte, manifiesta que hasta que no se concluya con dicho trámite, no puede percibir la retribución especial que establece el </w:t>
      </w:r>
      <w:r w:rsidRPr="00095B6A">
        <w:rPr>
          <w:rFonts w:ascii="Arial" w:eastAsia="Calibri" w:hAnsi="Arial" w:cs="Arial"/>
          <w:sz w:val="24"/>
          <w:szCs w:val="24"/>
        </w:rPr>
        <w:lastRenderedPageBreak/>
        <w:t xml:space="preserve">artículo 39 del Estatuto Docente (Ley 10.579), que reza: </w:t>
      </w:r>
      <w:r w:rsidRPr="00095B6A">
        <w:rPr>
          <w:rFonts w:ascii="Arial" w:eastAsia="Calibri" w:hAnsi="Arial" w:cs="Arial"/>
          <w:i/>
          <w:sz w:val="24"/>
          <w:szCs w:val="24"/>
        </w:rPr>
        <w:t>“el personal docente titular o sus derechohabientes, tendrán derecho a una retribución especial, corresponde a seis (6) mensualidades de su última remuneración regular permanente, sin descuento de ninguna índole, abonada en una única vez, dentro de los treinta (30) días de producido el cese”</w:t>
      </w:r>
      <w:r>
        <w:rPr>
          <w:rFonts w:ascii="Arial" w:eastAsia="Calibri" w:hAnsi="Arial" w:cs="Arial"/>
          <w:sz w:val="24"/>
          <w:szCs w:val="24"/>
        </w:rPr>
        <w:t>;</w:t>
      </w:r>
      <w:r w:rsidRPr="00095B6A">
        <w:rPr>
          <w:rFonts w:ascii="Arial" w:eastAsia="Calibri" w:hAnsi="Arial" w:cs="Arial"/>
          <w:sz w:val="24"/>
          <w:szCs w:val="24"/>
        </w:rPr>
        <w:t xml:space="preserve"> plazo que no se ve reflejado en </w:t>
      </w:r>
      <w:r>
        <w:rPr>
          <w:rFonts w:ascii="Arial" w:eastAsia="Calibri" w:hAnsi="Arial" w:cs="Arial"/>
          <w:sz w:val="24"/>
          <w:szCs w:val="24"/>
        </w:rPr>
        <w:t>el</w:t>
      </w:r>
      <w:r w:rsidRPr="00095B6A">
        <w:rPr>
          <w:rFonts w:ascii="Arial" w:eastAsia="Calibri" w:hAnsi="Arial" w:cs="Arial"/>
          <w:sz w:val="24"/>
          <w:szCs w:val="24"/>
        </w:rPr>
        <w:t xml:space="preserve"> caso presentado ante nuestro Organismo, y que a su vez perjudica la economía de l</w:t>
      </w:r>
      <w:r>
        <w:rPr>
          <w:rFonts w:ascii="Arial" w:eastAsia="Calibri" w:hAnsi="Arial" w:cs="Arial"/>
          <w:sz w:val="24"/>
          <w:szCs w:val="24"/>
        </w:rPr>
        <w:t>a</w:t>
      </w:r>
      <w:r w:rsidRPr="00095B6A">
        <w:rPr>
          <w:rFonts w:ascii="Arial" w:eastAsia="Calibri" w:hAnsi="Arial" w:cs="Arial"/>
          <w:sz w:val="24"/>
          <w:szCs w:val="24"/>
        </w:rPr>
        <w:t xml:space="preserve"> docente, debido a que las tasas de interés de actualización del monto a la fecha de pago son muy bajas.</w:t>
      </w:r>
    </w:p>
    <w:p w:rsidR="00A34122" w:rsidRPr="00095B6A" w:rsidRDefault="00A34122" w:rsidP="00A34122">
      <w:pPr>
        <w:spacing w:after="0" w:line="360" w:lineRule="auto"/>
        <w:ind w:firstLine="1701"/>
        <w:jc w:val="both"/>
        <w:rPr>
          <w:rFonts w:ascii="Arial" w:eastAsia="Calibri" w:hAnsi="Arial" w:cs="Arial"/>
          <w:sz w:val="24"/>
          <w:szCs w:val="24"/>
        </w:rPr>
      </w:pPr>
    </w:p>
    <w:p w:rsidR="00A34122" w:rsidRDefault="00A34122" w:rsidP="00A34122">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desde nuestro Organismo se han remitido solicitudes de informes a la Dirección de Jubilaciones y Certificaciones de la Dirección General,</w:t>
      </w:r>
      <w:r>
        <w:rPr>
          <w:rFonts w:ascii="Arial" w:eastAsia="Calibri" w:hAnsi="Arial" w:cs="Arial"/>
          <w:sz w:val="24"/>
          <w:szCs w:val="24"/>
        </w:rPr>
        <w:t xml:space="preserve"> </w:t>
      </w:r>
      <w:r w:rsidRPr="00095B6A">
        <w:rPr>
          <w:rFonts w:ascii="Arial" w:eastAsia="Calibri" w:hAnsi="Arial" w:cs="Arial"/>
          <w:sz w:val="24"/>
          <w:szCs w:val="24"/>
        </w:rPr>
        <w:t>de Cultura y Educación</w:t>
      </w:r>
      <w:r>
        <w:rPr>
          <w:rFonts w:ascii="Arial" w:eastAsia="Calibri" w:hAnsi="Arial" w:cs="Arial"/>
          <w:sz w:val="24"/>
          <w:szCs w:val="24"/>
        </w:rPr>
        <w:t xml:space="preserve">, conforme lucen a fs. 12, 13, 15 y 16, </w:t>
      </w:r>
      <w:r w:rsidRPr="00095B6A">
        <w:rPr>
          <w:rFonts w:ascii="Arial" w:eastAsia="Calibri" w:hAnsi="Arial" w:cs="Arial"/>
          <w:sz w:val="24"/>
          <w:szCs w:val="24"/>
        </w:rPr>
        <w:t xml:space="preserve"> de las cuales no hemos obtenido respuesta hasta la actualidad. </w:t>
      </w:r>
    </w:p>
    <w:p w:rsidR="00A34122" w:rsidRDefault="00A34122" w:rsidP="00A34122">
      <w:pPr>
        <w:spacing w:after="0" w:line="360" w:lineRule="auto"/>
        <w:ind w:firstLine="1701"/>
        <w:jc w:val="both"/>
        <w:rPr>
          <w:rFonts w:ascii="Arial" w:eastAsia="Calibri" w:hAnsi="Arial" w:cs="Arial"/>
          <w:sz w:val="24"/>
          <w:szCs w:val="24"/>
        </w:rPr>
      </w:pPr>
    </w:p>
    <w:p w:rsidR="00A34122" w:rsidRDefault="00A34122" w:rsidP="00A34122">
      <w:pPr>
        <w:spacing w:after="0" w:line="360" w:lineRule="auto"/>
        <w:ind w:firstLine="1701"/>
        <w:jc w:val="both"/>
        <w:rPr>
          <w:rFonts w:ascii="Arial" w:eastAsia="Times New Roman" w:hAnsi="Arial" w:cs="Times New Roman"/>
          <w:snapToGrid w:val="0"/>
          <w:sz w:val="24"/>
          <w:szCs w:val="24"/>
          <w:lang w:val="es-ES" w:eastAsia="es-ES"/>
        </w:rPr>
      </w:pPr>
      <w:r w:rsidRPr="00593BBB">
        <w:rPr>
          <w:rFonts w:ascii="Arial" w:eastAsia="Calibri" w:hAnsi="Arial" w:cs="Arial"/>
          <w:sz w:val="24"/>
          <w:szCs w:val="24"/>
        </w:rPr>
        <w:t>Qu</w:t>
      </w:r>
      <w:r>
        <w:rPr>
          <w:rFonts w:ascii="Arial" w:eastAsia="Calibri" w:hAnsi="Arial" w:cs="Arial"/>
          <w:sz w:val="24"/>
          <w:szCs w:val="24"/>
        </w:rPr>
        <w:t>e</w:t>
      </w:r>
      <w:r w:rsidRPr="00095B6A">
        <w:rPr>
          <w:rFonts w:ascii="Arial" w:eastAsia="Calibri" w:hAnsi="Arial" w:cs="Arial"/>
          <w:sz w:val="24"/>
          <w:szCs w:val="24"/>
        </w:rPr>
        <w:t xml:space="preserve"> </w:t>
      </w:r>
      <w:r>
        <w:rPr>
          <w:rFonts w:ascii="Arial" w:eastAsia="Calibri" w:hAnsi="Arial" w:cs="Arial"/>
          <w:sz w:val="24"/>
          <w:szCs w:val="24"/>
        </w:rPr>
        <w:t>l</w:t>
      </w:r>
      <w:r w:rsidRPr="00095B6A">
        <w:rPr>
          <w:rFonts w:ascii="Arial" w:eastAsia="Times New Roman" w:hAnsi="Arial" w:cs="Times New Roman"/>
          <w:snapToGrid w:val="0"/>
          <w:sz w:val="24"/>
          <w:szCs w:val="24"/>
          <w:lang w:val="es-ES" w:eastAsia="es-ES"/>
        </w:rPr>
        <w:t xml:space="preserve">a administración tiene la obligación y el deber jurídico de pronunciarse frente a las peticiones que le formulan los particulares, quienes -correlativamente- tienen el derecho a obtener de ella una decisión fundada. </w:t>
      </w:r>
    </w:p>
    <w:p w:rsidR="00A34122" w:rsidRDefault="00A34122" w:rsidP="00A34122">
      <w:pPr>
        <w:spacing w:after="0" w:line="360" w:lineRule="auto"/>
        <w:ind w:firstLine="1701"/>
        <w:jc w:val="both"/>
        <w:rPr>
          <w:rFonts w:ascii="Arial" w:eastAsia="Times New Roman" w:hAnsi="Arial" w:cs="Times New Roman"/>
          <w:snapToGrid w:val="0"/>
          <w:sz w:val="24"/>
          <w:szCs w:val="24"/>
          <w:lang w:val="es-ES" w:eastAsia="es-ES"/>
        </w:rPr>
      </w:pPr>
    </w:p>
    <w:p w:rsidR="00A34122" w:rsidRDefault="00A34122" w:rsidP="00A34122">
      <w:pPr>
        <w:spacing w:after="0" w:line="360" w:lineRule="auto"/>
        <w:ind w:firstLine="1701"/>
        <w:jc w:val="both"/>
        <w:rPr>
          <w:rFonts w:ascii="Arial" w:eastAsia="Times New Roman" w:hAnsi="Arial" w:cs="Times New Roman"/>
          <w:snapToGrid w:val="0"/>
          <w:sz w:val="24"/>
          <w:szCs w:val="24"/>
          <w:lang w:val="es-ES" w:eastAsia="es-ES"/>
        </w:rPr>
      </w:pPr>
      <w:r>
        <w:rPr>
          <w:rFonts w:ascii="Arial" w:eastAsia="Times New Roman" w:hAnsi="Arial" w:cs="Times New Roman"/>
          <w:snapToGrid w:val="0"/>
          <w:sz w:val="24"/>
          <w:szCs w:val="24"/>
          <w:lang w:val="es-ES" w:eastAsia="es-ES"/>
        </w:rPr>
        <w:t>Que “</w:t>
      </w:r>
      <w:r w:rsidRPr="00095B6A">
        <w:rPr>
          <w:rFonts w:ascii="Arial" w:eastAsia="Times New Roman" w:hAnsi="Arial" w:cs="Times New Roman"/>
          <w:i/>
          <w:snapToGrid w:val="0"/>
          <w:sz w:val="24"/>
          <w:szCs w:val="24"/>
          <w:lang w:val="es-ES" w:eastAsia="es-ES"/>
        </w:rPr>
        <w:t>No decidir o decidir fuera del plazo constituyen actos irregulares de la administración que perjudican al particular y atentan contra la eficacia de la actividad de aquella. Ante la falta de resolución, se han contemplado diversas soluciones a la morosidad administrativa, pues de lo contrario la carga que grava a la administración pública de emitir el pertinente acto administrativo, y el derecho del particular al respecto, vendrían a ser ciertamente ineficaces si el propio ordenamiento jurídico no arbitrara correlativamente los mecanismos correctivos.</w:t>
      </w:r>
      <w:r w:rsidRPr="00095B6A">
        <w:rPr>
          <w:rFonts w:ascii="Arial" w:eastAsia="Times New Roman" w:hAnsi="Arial" w:cs="Times New Roman"/>
          <w:snapToGrid w:val="0"/>
          <w:sz w:val="24"/>
          <w:szCs w:val="24"/>
          <w:lang w:val="es-ES" w:eastAsia="es-ES"/>
        </w:rPr>
        <w:t>" (</w:t>
      </w:r>
      <w:r w:rsidRPr="00095B6A">
        <w:rPr>
          <w:rFonts w:ascii="Arial" w:eastAsia="Times New Roman" w:hAnsi="Arial" w:cs="Times New Roman"/>
          <w:snapToGrid w:val="0"/>
          <w:sz w:val="24"/>
          <w:szCs w:val="24"/>
          <w:u w:val="single"/>
          <w:lang w:val="es-ES" w:eastAsia="es-ES"/>
        </w:rPr>
        <w:t>Amparo por mora de la Administración Pública</w:t>
      </w:r>
      <w:r w:rsidRPr="00095B6A">
        <w:rPr>
          <w:rFonts w:ascii="Arial" w:eastAsia="Times New Roman" w:hAnsi="Arial" w:cs="Times New Roman"/>
          <w:snapToGrid w:val="0"/>
          <w:sz w:val="24"/>
          <w:szCs w:val="24"/>
          <w:lang w:val="es-ES" w:eastAsia="es-ES"/>
        </w:rPr>
        <w:t xml:space="preserve">; Horacio D. Creo </w:t>
      </w:r>
      <w:proofErr w:type="spellStart"/>
      <w:r w:rsidRPr="00095B6A">
        <w:rPr>
          <w:rFonts w:ascii="Arial" w:eastAsia="Times New Roman" w:hAnsi="Arial" w:cs="Times New Roman"/>
          <w:snapToGrid w:val="0"/>
          <w:sz w:val="24"/>
          <w:szCs w:val="24"/>
          <w:lang w:val="es-ES" w:eastAsia="es-ES"/>
        </w:rPr>
        <w:t>Bay</w:t>
      </w:r>
      <w:proofErr w:type="spellEnd"/>
      <w:r w:rsidRPr="00095B6A">
        <w:rPr>
          <w:rFonts w:ascii="Arial" w:eastAsia="Times New Roman" w:hAnsi="Arial" w:cs="Times New Roman"/>
          <w:snapToGrid w:val="0"/>
          <w:sz w:val="24"/>
          <w:szCs w:val="24"/>
          <w:lang w:val="es-ES" w:eastAsia="es-ES"/>
        </w:rPr>
        <w:t xml:space="preserve"> - Tomás Hutchinson, Ed. </w:t>
      </w:r>
      <w:proofErr w:type="spellStart"/>
      <w:r w:rsidRPr="00095B6A">
        <w:rPr>
          <w:rFonts w:ascii="Arial" w:eastAsia="Times New Roman" w:hAnsi="Arial" w:cs="Times New Roman"/>
          <w:snapToGrid w:val="0"/>
          <w:sz w:val="24"/>
          <w:szCs w:val="24"/>
          <w:lang w:val="es-ES" w:eastAsia="es-ES"/>
        </w:rPr>
        <w:t>Astrea</w:t>
      </w:r>
      <w:proofErr w:type="spellEnd"/>
      <w:r w:rsidRPr="00095B6A">
        <w:rPr>
          <w:rFonts w:ascii="Arial" w:eastAsia="Times New Roman" w:hAnsi="Arial" w:cs="Times New Roman"/>
          <w:snapToGrid w:val="0"/>
          <w:sz w:val="24"/>
          <w:szCs w:val="24"/>
          <w:lang w:val="es-ES" w:eastAsia="es-ES"/>
        </w:rPr>
        <w:t>, 2006, pág. 2 y ss).</w:t>
      </w:r>
    </w:p>
    <w:p w:rsidR="00A34122" w:rsidRDefault="00A34122" w:rsidP="00A34122">
      <w:pPr>
        <w:spacing w:after="0" w:line="360" w:lineRule="auto"/>
        <w:ind w:firstLine="1701"/>
        <w:jc w:val="both"/>
        <w:rPr>
          <w:rFonts w:ascii="Arial" w:eastAsia="Times New Roman" w:hAnsi="Arial" w:cs="Times New Roman"/>
          <w:snapToGrid w:val="0"/>
          <w:sz w:val="24"/>
          <w:szCs w:val="24"/>
          <w:lang w:val="es-ES" w:eastAsia="es-ES"/>
        </w:rPr>
      </w:pPr>
    </w:p>
    <w:p w:rsidR="00A34122" w:rsidRDefault="00A34122" w:rsidP="00A34122">
      <w:pPr>
        <w:spacing w:after="0" w:line="360" w:lineRule="auto"/>
        <w:ind w:firstLine="1701"/>
        <w:jc w:val="both"/>
        <w:rPr>
          <w:rFonts w:ascii="Arial" w:eastAsia="Calibri" w:hAnsi="Arial" w:cs="Arial"/>
          <w:sz w:val="24"/>
          <w:szCs w:val="24"/>
          <w:lang w:val="es-ES"/>
        </w:rPr>
      </w:pPr>
      <w:r>
        <w:rPr>
          <w:rFonts w:ascii="Arial" w:eastAsia="Times New Roman" w:hAnsi="Arial" w:cs="Times New Roman"/>
          <w:snapToGrid w:val="0"/>
          <w:sz w:val="24"/>
          <w:szCs w:val="24"/>
          <w:lang w:val="es-ES" w:eastAsia="es-ES"/>
        </w:rPr>
        <w:t>Que l</w:t>
      </w:r>
      <w:r w:rsidRPr="00095B6A">
        <w:rPr>
          <w:rFonts w:ascii="Arial" w:eastAsia="Calibri" w:hAnsi="Arial" w:cs="Arial"/>
          <w:sz w:val="24"/>
          <w:szCs w:val="24"/>
          <w:lang w:val="es-ES"/>
        </w:rPr>
        <w:t xml:space="preserve">a ley de procedimiento administrativo -art. 1 DL 7647/70- establece que las actuaciones administrativas deben impulsarse de oficio -art. 48-, que incumbe a las autoridades encargadas de su despacho adoptar las medidas oportunas para que la tramitación no sufra retrasos -art. 50-, y que los plazos administrativos son obligatorios para las autoridades públicas -art. 71- (ver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xml:space="preserve">; B- 64.878, del 17.8.05). </w:t>
      </w:r>
    </w:p>
    <w:p w:rsidR="00A34122" w:rsidRDefault="00A34122" w:rsidP="00A34122">
      <w:pPr>
        <w:spacing w:after="0" w:line="360" w:lineRule="auto"/>
        <w:ind w:firstLine="1701"/>
        <w:jc w:val="both"/>
        <w:rPr>
          <w:rFonts w:ascii="Arial" w:eastAsia="Calibri" w:hAnsi="Arial" w:cs="Arial"/>
          <w:sz w:val="24"/>
          <w:szCs w:val="24"/>
          <w:lang w:val="es-ES"/>
        </w:rPr>
      </w:pPr>
    </w:p>
    <w:p w:rsidR="00A34122" w:rsidRPr="00095B6A" w:rsidRDefault="00A34122" w:rsidP="00A34122">
      <w:pPr>
        <w:spacing w:after="0" w:line="360" w:lineRule="auto"/>
        <w:ind w:firstLine="1701"/>
        <w:jc w:val="both"/>
        <w:rPr>
          <w:rFonts w:ascii="Arial" w:eastAsia="Calibri" w:hAnsi="Arial" w:cs="Arial"/>
          <w:sz w:val="24"/>
          <w:szCs w:val="24"/>
          <w:lang w:val="es-ES"/>
        </w:rPr>
      </w:pPr>
      <w:r>
        <w:rPr>
          <w:rFonts w:ascii="Arial" w:eastAsia="Calibri" w:hAnsi="Arial" w:cs="Arial"/>
          <w:sz w:val="24"/>
          <w:szCs w:val="24"/>
          <w:lang w:val="es-ES"/>
        </w:rPr>
        <w:t xml:space="preserve">Que </w:t>
      </w:r>
      <w:r w:rsidRPr="00095B6A">
        <w:rPr>
          <w:rFonts w:ascii="Arial" w:eastAsia="Calibri" w:hAnsi="Arial" w:cs="Arial"/>
          <w:i/>
          <w:sz w:val="24"/>
          <w:szCs w:val="24"/>
          <w:lang w:val="es-ES"/>
        </w:rPr>
        <w:t xml:space="preserve">"Esa actitud omisiva de la autoridad estatal resulta, pues, violatoria del derecho de defensa del reclamante, que se integra con el derecho a obtener una decisión no solo motivada, sino también oportuna y que en el ámbito del procedimiento administrativo deviene una obligación de la Administración inherente al principio del debido proceso adjetivo que lo informa (art. 15 in fine, Constitución provincial, </w:t>
      </w:r>
      <w:proofErr w:type="spellStart"/>
      <w:r w:rsidRPr="00095B6A">
        <w:rPr>
          <w:rFonts w:ascii="Arial" w:eastAsia="Calibri" w:hAnsi="Arial" w:cs="Arial"/>
          <w:i/>
          <w:sz w:val="24"/>
          <w:szCs w:val="24"/>
          <w:lang w:val="es-ES"/>
        </w:rPr>
        <w:t>doctr</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causas</w:t>
      </w:r>
      <w:proofErr w:type="gramEnd"/>
      <w:r w:rsidRPr="00095B6A">
        <w:rPr>
          <w:rFonts w:ascii="Arial" w:eastAsia="Calibri" w:hAnsi="Arial" w:cs="Arial"/>
          <w:i/>
          <w:sz w:val="24"/>
          <w:szCs w:val="24"/>
          <w:lang w:val="es-ES"/>
        </w:rPr>
        <w:t xml:space="preserve"> B. 64.8378 "Muñoz",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12-V-2004 y B. 65.322 "Viera",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1-XI-2004)"</w:t>
      </w:r>
      <w:r w:rsidRPr="00095B6A">
        <w:rPr>
          <w:rFonts w:ascii="Arial" w:eastAsia="Calibri" w:hAnsi="Arial" w:cs="Arial"/>
          <w:sz w:val="24"/>
          <w:szCs w:val="24"/>
          <w:lang w:val="es-ES"/>
        </w:rPr>
        <w:t xml:space="preserve">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B- 64.878, del 17.8.05).</w:t>
      </w:r>
    </w:p>
    <w:p w:rsidR="00A34122" w:rsidRDefault="00A34122" w:rsidP="00A34122">
      <w:pPr>
        <w:spacing w:after="0" w:line="360" w:lineRule="auto"/>
        <w:ind w:firstLine="1701"/>
        <w:jc w:val="both"/>
        <w:rPr>
          <w:rFonts w:ascii="Arial" w:eastAsia="Calibri" w:hAnsi="Arial" w:cs="Arial"/>
          <w:sz w:val="24"/>
          <w:szCs w:val="24"/>
        </w:rPr>
      </w:pPr>
    </w:p>
    <w:p w:rsidR="00A34122" w:rsidRDefault="00A34122" w:rsidP="00A34122">
      <w:pPr>
        <w:spacing w:after="0" w:line="360" w:lineRule="auto"/>
        <w:ind w:firstLine="1701"/>
        <w:jc w:val="both"/>
        <w:rPr>
          <w:rFonts w:ascii="Arial" w:eastAsia="Calibri" w:hAnsi="Arial" w:cs="Arial"/>
          <w:sz w:val="24"/>
          <w:szCs w:val="24"/>
        </w:rPr>
      </w:pPr>
      <w:r>
        <w:rPr>
          <w:rFonts w:ascii="Arial" w:eastAsia="Calibri" w:hAnsi="Arial" w:cs="Arial"/>
          <w:sz w:val="24"/>
          <w:szCs w:val="24"/>
        </w:rPr>
        <w:t>Que e</w:t>
      </w:r>
      <w:r w:rsidRPr="00095B6A">
        <w:rPr>
          <w:rFonts w:ascii="Arial" w:eastAsia="Calibri" w:hAnsi="Arial" w:cs="Arial"/>
          <w:sz w:val="24"/>
          <w:szCs w:val="24"/>
        </w:rPr>
        <w:t>l derecho de peticionar ante las autoridades, reconocido expresamente en la Constitución Nacional — artículo 14— , y en la Declaración Americana de los Derechos y Deberes del Hombre — artículo 24— , de jerarquía constitucional conforme lo establece expresamente nuestra propia carta fundamental (artículo 75, inciso 22), no se agota por el mero hecho de permitirle al particular que presente su pretensión. Resulta necesario, además, el reconocimiento del derecho a ofrecer y producir la prueba pertinente en el expediente administrativo y, sobre todo, el derecho a obtener una decisión fundada</w:t>
      </w:r>
      <w:r>
        <w:rPr>
          <w:rFonts w:ascii="Arial" w:eastAsia="Calibri" w:hAnsi="Arial" w:cs="Arial"/>
          <w:sz w:val="24"/>
          <w:szCs w:val="24"/>
        </w:rPr>
        <w:t xml:space="preserve">. </w:t>
      </w:r>
    </w:p>
    <w:p w:rsidR="00A34122" w:rsidRDefault="00A34122" w:rsidP="00A34122">
      <w:pPr>
        <w:spacing w:after="0" w:line="360" w:lineRule="auto"/>
        <w:ind w:firstLine="1701"/>
        <w:jc w:val="both"/>
        <w:rPr>
          <w:rFonts w:ascii="Arial" w:eastAsia="Calibri" w:hAnsi="Arial" w:cs="Arial"/>
          <w:sz w:val="24"/>
          <w:szCs w:val="24"/>
        </w:rPr>
      </w:pPr>
    </w:p>
    <w:p w:rsidR="00A34122" w:rsidRDefault="00A34122" w:rsidP="00A34122">
      <w:pPr>
        <w:spacing w:after="0" w:line="360" w:lineRule="auto"/>
        <w:ind w:firstLine="1701"/>
        <w:jc w:val="both"/>
        <w:rPr>
          <w:rFonts w:ascii="Arial" w:eastAsia="Calibri" w:hAnsi="Arial" w:cs="Arial"/>
          <w:sz w:val="24"/>
          <w:szCs w:val="24"/>
        </w:rPr>
      </w:pPr>
      <w:r>
        <w:rPr>
          <w:rFonts w:ascii="Arial" w:eastAsia="Calibri" w:hAnsi="Arial" w:cs="Arial"/>
          <w:sz w:val="24"/>
          <w:szCs w:val="24"/>
        </w:rPr>
        <w:lastRenderedPageBreak/>
        <w:t>Que s</w:t>
      </w:r>
      <w:r w:rsidRPr="00095B6A">
        <w:rPr>
          <w:rFonts w:ascii="Arial" w:eastAsia="Calibri" w:hAnsi="Arial" w:cs="Arial"/>
          <w:sz w:val="24"/>
          <w:szCs w:val="24"/>
        </w:rPr>
        <w:t xml:space="preserve">e trata del respeto al principio del debido proceso adjetivo, que importa una expresión de la garantía de derecho de defensa consagrada en el artículo 18 de nuestra Constitución Nacional, y de la tutela judicial efectiva reconocida en los artículos 8º y 25 de la Convención Americana sobre Derechos Humanos (Pacto de San José de Costa Rica), en los artículos 2º, inc. 3, y 14 del Pacto Internacional de Derechos Civiles y Políticos, y en el artículo 10 de la Declaración Universal de Derechos Humanos, todos con jerarquía constitucional. </w:t>
      </w:r>
    </w:p>
    <w:p w:rsidR="00A34122" w:rsidRDefault="00A34122" w:rsidP="00A34122">
      <w:pPr>
        <w:spacing w:after="0" w:line="360" w:lineRule="auto"/>
        <w:ind w:firstLine="1701"/>
        <w:jc w:val="both"/>
        <w:rPr>
          <w:rFonts w:ascii="Arial" w:eastAsia="Calibri" w:hAnsi="Arial" w:cs="Arial"/>
          <w:sz w:val="24"/>
          <w:szCs w:val="24"/>
        </w:rPr>
      </w:pPr>
    </w:p>
    <w:p w:rsidR="00A34122" w:rsidRDefault="00A34122" w:rsidP="00A34122">
      <w:pPr>
        <w:spacing w:after="0" w:line="360" w:lineRule="auto"/>
        <w:ind w:firstLine="1701"/>
        <w:jc w:val="both"/>
        <w:rPr>
          <w:rFonts w:ascii="Arial" w:eastAsia="Calibri" w:hAnsi="Arial" w:cs="Arial"/>
          <w:sz w:val="24"/>
          <w:szCs w:val="24"/>
        </w:rPr>
      </w:pPr>
      <w:r>
        <w:rPr>
          <w:rFonts w:ascii="Arial" w:eastAsia="Calibri" w:hAnsi="Arial" w:cs="Arial"/>
          <w:sz w:val="24"/>
          <w:szCs w:val="24"/>
        </w:rPr>
        <w:t>Que p</w:t>
      </w:r>
      <w:r w:rsidRPr="00095B6A">
        <w:rPr>
          <w:rFonts w:ascii="Arial" w:eastAsia="Calibri" w:hAnsi="Arial" w:cs="Arial"/>
          <w:sz w:val="24"/>
          <w:szCs w:val="24"/>
        </w:rPr>
        <w:t xml:space="preserve">or tal motivo, la administración tiene el deber de resolver las cuestiones planteadas por los particulares legitimados a tales efectos. Este deber surge de la obligación que impone el derecho del administrado de dar una decisión fundada, y encuentra fundamento en el principio de obligatoriedad de la competencia que impone la LNPA, y en los principios que rigen en el procedimiento administrativo, incorporados positivamente en dicha ley, tales como los de celeridad, economía, sencillez y eficacia en los trámites administrativos. </w:t>
      </w:r>
    </w:p>
    <w:p w:rsidR="00A34122" w:rsidRDefault="00A34122" w:rsidP="00A34122">
      <w:pPr>
        <w:spacing w:after="0" w:line="360" w:lineRule="auto"/>
        <w:ind w:firstLine="1701"/>
        <w:jc w:val="both"/>
        <w:rPr>
          <w:rFonts w:ascii="Arial" w:eastAsia="Calibri" w:hAnsi="Arial" w:cs="Arial"/>
          <w:sz w:val="24"/>
          <w:szCs w:val="24"/>
        </w:rPr>
      </w:pPr>
    </w:p>
    <w:p w:rsidR="00A34122" w:rsidRDefault="00A34122" w:rsidP="00A34122">
      <w:pPr>
        <w:spacing w:after="0" w:line="360" w:lineRule="auto"/>
        <w:ind w:firstLine="1701"/>
        <w:jc w:val="both"/>
        <w:rPr>
          <w:rFonts w:ascii="Arial" w:eastAsia="Times New Roman" w:hAnsi="Arial" w:cs="Arial"/>
          <w:sz w:val="24"/>
          <w:szCs w:val="24"/>
          <w:lang w:eastAsia="es-AR"/>
        </w:rPr>
      </w:pPr>
      <w:r w:rsidRPr="00271D75">
        <w:rPr>
          <w:rFonts w:ascii="Arial" w:eastAsia="Times New Roman" w:hAnsi="Arial" w:cs="Arial"/>
          <w:sz w:val="24"/>
          <w:szCs w:val="24"/>
          <w:lang w:eastAsia="es-AR"/>
        </w:rPr>
        <w:t>Qu</w:t>
      </w:r>
      <w:r>
        <w:rPr>
          <w:rFonts w:ascii="Arial" w:eastAsia="Times New Roman" w:hAnsi="Arial" w:cs="Arial"/>
          <w:sz w:val="24"/>
          <w:szCs w:val="24"/>
          <w:lang w:eastAsia="es-AR"/>
        </w:rPr>
        <w:t xml:space="preserve">e asimismo </w:t>
      </w:r>
      <w:r w:rsidRPr="00095B6A">
        <w:rPr>
          <w:rFonts w:ascii="Arial" w:eastAsia="Times New Roman" w:hAnsi="Arial" w:cs="Arial"/>
          <w:sz w:val="24"/>
          <w:szCs w:val="24"/>
          <w:lang w:eastAsia="es-AR"/>
        </w:rPr>
        <w:t>la jubilación es un derecho (Conf. a</w:t>
      </w:r>
      <w:r w:rsidRPr="00095B6A">
        <w:rPr>
          <w:rFonts w:ascii="Arial" w:eastAsia="Calibri" w:hAnsi="Arial" w:cs="Arial"/>
          <w:sz w:val="24"/>
          <w:szCs w:val="24"/>
        </w:rPr>
        <w:t>rt. 14 bis, 16, art. 17 art. 28 de la C. N.),</w:t>
      </w:r>
      <w:r w:rsidRPr="00095B6A">
        <w:rPr>
          <w:rFonts w:ascii="Arial" w:eastAsia="Times New Roman" w:hAnsi="Arial" w:cs="Arial"/>
          <w:sz w:val="24"/>
          <w:szCs w:val="24"/>
          <w:lang w:eastAsia="es-AR"/>
        </w:rPr>
        <w:t xml:space="preserve"> que reconoce a toda persona el derecho humano básico a descansar tras una larga vida de entrega al trabajo en beneficio propio y de la sociedad y de que ésta le garantice una subsistencia digna hasta el fin de sus días. </w:t>
      </w:r>
    </w:p>
    <w:p w:rsidR="00A34122" w:rsidRDefault="00A34122" w:rsidP="00A34122">
      <w:pPr>
        <w:spacing w:after="0" w:line="360" w:lineRule="auto"/>
        <w:ind w:firstLine="1701"/>
        <w:jc w:val="both"/>
        <w:rPr>
          <w:rFonts w:ascii="Arial" w:eastAsia="Times New Roman" w:hAnsi="Arial" w:cs="Arial"/>
          <w:sz w:val="24"/>
          <w:szCs w:val="24"/>
          <w:lang w:eastAsia="es-AR"/>
        </w:rPr>
      </w:pPr>
    </w:p>
    <w:p w:rsidR="00A34122" w:rsidRPr="00095B6A" w:rsidRDefault="00A34122" w:rsidP="00A34122">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el artículo 55 de la Constitución provincial establece que “el Defensor del Pueblo tiene a su cargo la defensa de los derechos individuales y colectivos de los habitantes.”</w:t>
      </w:r>
    </w:p>
    <w:p w:rsidR="00A34122" w:rsidRPr="00095B6A" w:rsidRDefault="00A34122" w:rsidP="00A34122">
      <w:pPr>
        <w:autoSpaceDE w:val="0"/>
        <w:autoSpaceDN w:val="0"/>
        <w:adjustRightInd w:val="0"/>
        <w:spacing w:after="0" w:line="360" w:lineRule="auto"/>
        <w:ind w:firstLine="1417"/>
        <w:jc w:val="both"/>
        <w:rPr>
          <w:rFonts w:ascii="Arial" w:eastAsia="Calibri" w:hAnsi="Arial" w:cs="Arial"/>
          <w:sz w:val="24"/>
          <w:szCs w:val="24"/>
        </w:rPr>
      </w:pPr>
    </w:p>
    <w:p w:rsidR="00A34122" w:rsidRPr="00095B6A" w:rsidRDefault="00A34122" w:rsidP="00A34122">
      <w:pPr>
        <w:autoSpaceDE w:val="0"/>
        <w:autoSpaceDN w:val="0"/>
        <w:adjustRightInd w:val="0"/>
        <w:spacing w:after="0" w:line="360" w:lineRule="auto"/>
        <w:ind w:firstLine="1417"/>
        <w:jc w:val="both"/>
        <w:rPr>
          <w:rFonts w:ascii="Arial" w:eastAsia="Times New Roman" w:hAnsi="Arial" w:cs="Arial"/>
          <w:color w:val="000000"/>
          <w:sz w:val="24"/>
          <w:szCs w:val="24"/>
          <w:lang w:val="es-ES_tradnl" w:eastAsia="es-AR"/>
        </w:rPr>
      </w:pPr>
      <w:r w:rsidRPr="00095B6A">
        <w:rPr>
          <w:rFonts w:ascii="Arial" w:eastAsia="Calibri" w:hAnsi="Arial" w:cs="Arial"/>
          <w:sz w:val="24"/>
          <w:szCs w:val="24"/>
        </w:rPr>
        <w:lastRenderedPageBreak/>
        <w:t>Que de conformidad con el artículo 27 de la Ley 13.834</w:t>
      </w:r>
      <w:r w:rsidRPr="00095B6A">
        <w:rPr>
          <w:rFonts w:ascii="Arial" w:eastAsia="Times New Roman" w:hAnsi="Arial" w:cs="Arial"/>
          <w:color w:val="000000"/>
          <w:sz w:val="24"/>
          <w:szCs w:val="24"/>
          <w:lang w:val="es-ES_tradnl" w:eastAsia="es-AR"/>
        </w:rPr>
        <w:t>, corresponde emitir el presente acto.</w:t>
      </w:r>
    </w:p>
    <w:p w:rsidR="00A34122" w:rsidRPr="00095B6A" w:rsidRDefault="00A34122" w:rsidP="00A34122">
      <w:pPr>
        <w:spacing w:after="0" w:line="360" w:lineRule="auto"/>
        <w:jc w:val="both"/>
        <w:rPr>
          <w:rFonts w:ascii="Arial" w:eastAsia="Times New Roman" w:hAnsi="Arial" w:cs="Arial"/>
          <w:color w:val="000000"/>
          <w:sz w:val="24"/>
          <w:szCs w:val="24"/>
          <w:lang w:val="es-ES_tradnl" w:eastAsia="es-AR"/>
        </w:rPr>
      </w:pPr>
    </w:p>
    <w:p w:rsidR="00A1549D" w:rsidRDefault="00A1549D" w:rsidP="00A34122">
      <w:pPr>
        <w:shd w:val="clear" w:color="auto" w:fill="FFFFFF"/>
        <w:spacing w:after="0" w:line="360" w:lineRule="auto"/>
        <w:jc w:val="both"/>
        <w:rPr>
          <w:rFonts w:ascii="Arial" w:eastAsia="Times New Roman" w:hAnsi="Arial" w:cs="Arial"/>
          <w:color w:val="2A2A2A"/>
          <w:sz w:val="24"/>
          <w:szCs w:val="24"/>
          <w:lang w:val="es-ES_tradnl" w:eastAsia="es-AR"/>
        </w:rPr>
      </w:pPr>
    </w:p>
    <w:p w:rsidR="00A34122" w:rsidRDefault="00A34122" w:rsidP="00A34122">
      <w:pPr>
        <w:shd w:val="clear" w:color="auto" w:fill="FFFFFF"/>
        <w:spacing w:after="0" w:line="360" w:lineRule="auto"/>
        <w:jc w:val="both"/>
        <w:rPr>
          <w:rFonts w:ascii="Arial" w:eastAsia="Times New Roman" w:hAnsi="Arial" w:cs="Arial"/>
          <w:color w:val="2A2A2A"/>
          <w:sz w:val="24"/>
          <w:szCs w:val="24"/>
          <w:lang w:val="es-ES_tradnl" w:eastAsia="es-AR"/>
        </w:rPr>
      </w:pPr>
      <w:r w:rsidRPr="00095B6A">
        <w:rPr>
          <w:rFonts w:ascii="Arial" w:eastAsia="Times New Roman" w:hAnsi="Arial" w:cs="Arial"/>
          <w:color w:val="2A2A2A"/>
          <w:sz w:val="24"/>
          <w:szCs w:val="24"/>
          <w:lang w:val="es-ES_tradnl" w:eastAsia="es-AR"/>
        </w:rPr>
        <w:t>Por ello,</w:t>
      </w:r>
    </w:p>
    <w:p w:rsidR="00A34122" w:rsidRPr="00095B6A" w:rsidRDefault="00A34122" w:rsidP="00A34122">
      <w:pPr>
        <w:shd w:val="clear" w:color="auto" w:fill="FFFFFF"/>
        <w:spacing w:after="0" w:line="360" w:lineRule="auto"/>
        <w:jc w:val="both"/>
        <w:rPr>
          <w:rFonts w:ascii="Arial" w:eastAsia="Times New Roman" w:hAnsi="Arial" w:cs="Arial"/>
          <w:color w:val="2A2A2A"/>
          <w:sz w:val="24"/>
          <w:szCs w:val="24"/>
          <w:lang w:val="es-ES_tradnl" w:eastAsia="es-AR"/>
        </w:rPr>
      </w:pPr>
    </w:p>
    <w:p w:rsidR="00A34122" w:rsidRPr="00095B6A" w:rsidRDefault="00A34122" w:rsidP="00A1549D">
      <w:pPr>
        <w:shd w:val="clear" w:color="auto" w:fill="FFFFFF"/>
        <w:tabs>
          <w:tab w:val="center" w:pos="4535"/>
          <w:tab w:val="left" w:pos="7035"/>
        </w:tabs>
        <w:spacing w:after="0" w:line="360" w:lineRule="auto"/>
        <w:jc w:val="center"/>
        <w:rPr>
          <w:rFonts w:ascii="Arial" w:eastAsia="Times New Roman" w:hAnsi="Arial" w:cs="Arial"/>
          <w:color w:val="2A2A2A"/>
          <w:sz w:val="24"/>
          <w:szCs w:val="24"/>
          <w:lang w:val="es-ES_tradnl" w:eastAsia="es-AR"/>
        </w:rPr>
      </w:pPr>
      <w:r w:rsidRPr="00095B6A">
        <w:rPr>
          <w:rFonts w:ascii="Arial" w:eastAsia="Times New Roman" w:hAnsi="Arial" w:cs="Arial"/>
          <w:b/>
          <w:bCs/>
          <w:color w:val="2A2A2A"/>
          <w:sz w:val="24"/>
          <w:szCs w:val="24"/>
          <w:lang w:val="es-ES_tradnl" w:eastAsia="es-AR"/>
        </w:rPr>
        <w:t xml:space="preserve">EL </w:t>
      </w:r>
      <w:r w:rsidR="00A1549D">
        <w:rPr>
          <w:rFonts w:ascii="Arial" w:eastAsia="Times New Roman" w:hAnsi="Arial" w:cs="Arial"/>
          <w:b/>
          <w:bCs/>
          <w:color w:val="2A2A2A"/>
          <w:sz w:val="24"/>
          <w:szCs w:val="24"/>
          <w:lang w:val="es-ES_tradnl" w:eastAsia="es-AR"/>
        </w:rPr>
        <w:t xml:space="preserve">DEFENSOR DEL PUEBLO </w:t>
      </w:r>
    </w:p>
    <w:p w:rsidR="00A34122" w:rsidRPr="00095B6A" w:rsidRDefault="00A34122" w:rsidP="00A34122">
      <w:pPr>
        <w:shd w:val="clear" w:color="auto" w:fill="FFFFFF"/>
        <w:spacing w:after="0" w:line="360" w:lineRule="auto"/>
        <w:jc w:val="center"/>
        <w:rPr>
          <w:rFonts w:ascii="Arial" w:eastAsia="Times New Roman" w:hAnsi="Arial" w:cs="Arial"/>
          <w:b/>
          <w:color w:val="2A2A2A"/>
          <w:sz w:val="24"/>
          <w:szCs w:val="24"/>
          <w:lang w:val="es-ES_tradnl" w:eastAsia="es-AR"/>
        </w:rPr>
      </w:pPr>
      <w:r w:rsidRPr="00095B6A">
        <w:rPr>
          <w:rFonts w:ascii="Arial" w:eastAsia="Times New Roman" w:hAnsi="Arial" w:cs="Arial"/>
          <w:b/>
          <w:color w:val="2A2A2A"/>
          <w:sz w:val="24"/>
          <w:szCs w:val="24"/>
          <w:lang w:val="es-ES_tradnl" w:eastAsia="es-AR"/>
        </w:rPr>
        <w:t>DE LA PROVINCIA DE BUENOS AIRES</w:t>
      </w:r>
    </w:p>
    <w:p w:rsidR="00A34122" w:rsidRPr="00095B6A" w:rsidRDefault="00A34122" w:rsidP="00A34122">
      <w:pPr>
        <w:shd w:val="clear" w:color="auto" w:fill="FFFFFF"/>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RESUELVE</w:t>
      </w:r>
    </w:p>
    <w:p w:rsidR="00A34122" w:rsidRPr="00095B6A" w:rsidRDefault="00A34122" w:rsidP="00A34122">
      <w:pPr>
        <w:spacing w:after="0" w:line="360" w:lineRule="auto"/>
        <w:ind w:firstLine="1418"/>
        <w:jc w:val="both"/>
        <w:rPr>
          <w:rFonts w:ascii="Arial" w:eastAsia="Times New Roman" w:hAnsi="Arial" w:cs="Arial"/>
          <w:b/>
          <w:sz w:val="24"/>
          <w:szCs w:val="24"/>
          <w:lang w:val="es-ES_tradnl" w:eastAsia="es-ES_tradnl"/>
        </w:rPr>
      </w:pPr>
    </w:p>
    <w:p w:rsidR="00A1549D" w:rsidRDefault="00A1549D" w:rsidP="00A34122">
      <w:pPr>
        <w:spacing w:after="0" w:line="360" w:lineRule="auto"/>
        <w:jc w:val="both"/>
        <w:rPr>
          <w:rFonts w:ascii="Arial" w:eastAsia="Calibri" w:hAnsi="Arial" w:cs="Arial"/>
          <w:b/>
          <w:bCs/>
          <w:sz w:val="24"/>
          <w:szCs w:val="24"/>
          <w:u w:val="single"/>
        </w:rPr>
      </w:pPr>
    </w:p>
    <w:p w:rsidR="00A34122" w:rsidRPr="00E21D61" w:rsidRDefault="00A34122" w:rsidP="00A34122">
      <w:pPr>
        <w:spacing w:after="0" w:line="360" w:lineRule="auto"/>
        <w:jc w:val="both"/>
        <w:rPr>
          <w:rFonts w:ascii="Arial" w:eastAsia="Calibri" w:hAnsi="Arial" w:cs="Arial"/>
          <w:sz w:val="24"/>
          <w:szCs w:val="24"/>
        </w:rPr>
      </w:pPr>
      <w:r w:rsidRPr="00095B6A">
        <w:rPr>
          <w:rFonts w:ascii="Arial" w:eastAsia="Calibri" w:hAnsi="Arial" w:cs="Arial"/>
          <w:b/>
          <w:bCs/>
          <w:sz w:val="24"/>
          <w:szCs w:val="24"/>
          <w:u w:val="single"/>
        </w:rPr>
        <w:t>ARTÍCULO 1</w:t>
      </w:r>
      <w:r w:rsidRPr="00095B6A">
        <w:rPr>
          <w:rFonts w:ascii="Arial" w:eastAsia="Calibri" w:hAnsi="Arial" w:cs="Arial"/>
          <w:b/>
          <w:bCs/>
          <w:sz w:val="24"/>
          <w:szCs w:val="24"/>
        </w:rPr>
        <w:t xml:space="preserve">: RECOMENDAR </w:t>
      </w:r>
      <w:r w:rsidRPr="00095B6A">
        <w:rPr>
          <w:rFonts w:ascii="Arial" w:eastAsia="Calibri" w:hAnsi="Arial" w:cs="Arial"/>
          <w:sz w:val="24"/>
          <w:szCs w:val="24"/>
        </w:rPr>
        <w:t xml:space="preserve">a la Dirección </w:t>
      </w:r>
      <w:r>
        <w:rPr>
          <w:rFonts w:ascii="Arial" w:eastAsia="Calibri" w:hAnsi="Arial" w:cs="Arial"/>
          <w:sz w:val="24"/>
          <w:szCs w:val="24"/>
        </w:rPr>
        <w:t>de Jubilaciones y Certificaciones</w:t>
      </w:r>
      <w:r w:rsidRPr="00095B6A">
        <w:rPr>
          <w:rFonts w:ascii="Arial" w:eastAsia="Calibri" w:hAnsi="Arial" w:cs="Arial"/>
          <w:sz w:val="24"/>
          <w:szCs w:val="24"/>
        </w:rPr>
        <w:t xml:space="preserve"> de la Dirección General de Cultura y Educación de la Provincia de Buenos Aires, tramite con carácter urgente </w:t>
      </w:r>
      <w:r>
        <w:rPr>
          <w:rFonts w:ascii="Arial" w:eastAsia="Calibri" w:hAnsi="Arial" w:cs="Arial"/>
          <w:sz w:val="24"/>
          <w:szCs w:val="24"/>
        </w:rPr>
        <w:t xml:space="preserve">el Expediente Administrativo </w:t>
      </w:r>
      <w:r w:rsidR="00A1549D">
        <w:rPr>
          <w:rFonts w:ascii="Arial" w:eastAsia="Calibri" w:hAnsi="Arial" w:cs="Arial"/>
          <w:sz w:val="24"/>
          <w:szCs w:val="24"/>
        </w:rPr>
        <w:t xml:space="preserve">N° 05826-02049664-2012 correspondiente al cese ordinario </w:t>
      </w:r>
      <w:r>
        <w:rPr>
          <w:rFonts w:ascii="Arial" w:eastAsia="Calibri" w:hAnsi="Arial" w:cs="Arial"/>
          <w:sz w:val="24"/>
          <w:szCs w:val="24"/>
        </w:rPr>
        <w:t xml:space="preserve">de </w:t>
      </w:r>
      <w:r>
        <w:rPr>
          <w:rFonts w:ascii="Arial" w:eastAsia="Times New Roman" w:hAnsi="Arial" w:cs="Arial"/>
          <w:sz w:val="24"/>
          <w:szCs w:val="24"/>
          <w:lang w:eastAsia="es-ES"/>
        </w:rPr>
        <w:t xml:space="preserve">la Sra. </w:t>
      </w:r>
      <w:r w:rsidR="00A1549D">
        <w:rPr>
          <w:rFonts w:ascii="Arial" w:eastAsia="Times New Roman" w:hAnsi="Arial" w:cs="Arial"/>
          <w:sz w:val="24"/>
          <w:szCs w:val="24"/>
          <w:lang w:eastAsia="es-ES"/>
        </w:rPr>
        <w:t>S E</w:t>
      </w:r>
      <w:r w:rsidR="00372556">
        <w:rPr>
          <w:rFonts w:ascii="Arial" w:eastAsia="Times New Roman" w:hAnsi="Arial" w:cs="Arial"/>
          <w:sz w:val="24"/>
          <w:szCs w:val="24"/>
          <w:lang w:eastAsia="es-ES"/>
        </w:rPr>
        <w:t xml:space="preserve"> </w:t>
      </w:r>
      <w:r>
        <w:rPr>
          <w:rFonts w:ascii="Arial" w:eastAsia="Times New Roman" w:hAnsi="Arial" w:cs="Arial"/>
          <w:sz w:val="24"/>
          <w:szCs w:val="24"/>
          <w:lang w:eastAsia="es-ES"/>
        </w:rPr>
        <w:t>C, DNI</w:t>
      </w:r>
      <w:r w:rsidR="00372556">
        <w:rPr>
          <w:rFonts w:ascii="Arial" w:eastAsia="Times New Roman" w:hAnsi="Arial" w:cs="Arial"/>
          <w:sz w:val="24"/>
          <w:szCs w:val="24"/>
          <w:lang w:eastAsia="es-ES"/>
        </w:rPr>
        <w:t xml:space="preserve"> *****</w:t>
      </w:r>
      <w:proofErr w:type="gramStart"/>
      <w:r w:rsidR="00372556">
        <w:rPr>
          <w:rFonts w:ascii="Arial" w:eastAsia="Times New Roman" w:hAnsi="Arial" w:cs="Arial"/>
          <w:sz w:val="24"/>
          <w:szCs w:val="24"/>
          <w:lang w:eastAsia="es-ES"/>
        </w:rPr>
        <w:t xml:space="preserve">* </w:t>
      </w:r>
      <w:bookmarkStart w:id="0" w:name="_GoBack"/>
      <w:bookmarkEnd w:id="0"/>
      <w:r>
        <w:rPr>
          <w:rFonts w:ascii="Arial" w:eastAsia="Calibri" w:hAnsi="Arial" w:cs="Arial"/>
          <w:sz w:val="24"/>
          <w:szCs w:val="24"/>
        </w:rPr>
        <w:t>,</w:t>
      </w:r>
      <w:proofErr w:type="gramEnd"/>
      <w:r>
        <w:rPr>
          <w:rFonts w:ascii="Arial" w:eastAsia="Calibri" w:hAnsi="Arial" w:cs="Arial"/>
          <w:sz w:val="24"/>
          <w:szCs w:val="24"/>
        </w:rPr>
        <w:t xml:space="preserve"> </w:t>
      </w:r>
      <w:r w:rsidR="00A1549D">
        <w:rPr>
          <w:rFonts w:ascii="Arial" w:eastAsia="Calibri" w:hAnsi="Arial" w:cs="Arial"/>
          <w:sz w:val="24"/>
          <w:szCs w:val="24"/>
        </w:rPr>
        <w:t xml:space="preserve">el que se encuentra retrasado desde </w:t>
      </w:r>
      <w:r>
        <w:rPr>
          <w:rFonts w:ascii="Arial" w:eastAsia="Calibri" w:hAnsi="Arial" w:cs="Arial"/>
          <w:sz w:val="24"/>
          <w:szCs w:val="24"/>
        </w:rPr>
        <w:t xml:space="preserve">el Departamento de </w:t>
      </w:r>
      <w:r w:rsidR="00D06327">
        <w:rPr>
          <w:rFonts w:ascii="Arial" w:eastAsia="Calibri" w:hAnsi="Arial" w:cs="Arial"/>
          <w:sz w:val="24"/>
          <w:szCs w:val="24"/>
        </w:rPr>
        <w:t>Códigos desde el 1 de Julio de 2016</w:t>
      </w:r>
      <w:r>
        <w:rPr>
          <w:rFonts w:ascii="Arial" w:eastAsia="Calibri" w:hAnsi="Arial" w:cs="Arial"/>
          <w:sz w:val="24"/>
          <w:szCs w:val="24"/>
        </w:rPr>
        <w:t>.</w:t>
      </w:r>
    </w:p>
    <w:p w:rsidR="00A34122" w:rsidRDefault="00A34122" w:rsidP="00A34122"/>
    <w:p w:rsidR="00A34122" w:rsidRPr="00095B6A" w:rsidRDefault="00A34122" w:rsidP="00A34122">
      <w:pPr>
        <w:spacing w:after="0" w:line="360" w:lineRule="auto"/>
        <w:jc w:val="both"/>
        <w:rPr>
          <w:rFonts w:ascii="Arial" w:eastAsia="Times New Roman" w:hAnsi="Arial" w:cs="Arial"/>
          <w:sz w:val="24"/>
          <w:szCs w:val="24"/>
          <w:lang w:val="es-ES_tradnl" w:eastAsia="es-ES_tradnl"/>
        </w:rPr>
      </w:pPr>
      <w:r w:rsidRPr="00095B6A">
        <w:rPr>
          <w:rFonts w:ascii="Arial" w:eastAsia="Calibri" w:hAnsi="Arial" w:cs="Arial"/>
          <w:b/>
          <w:bCs/>
          <w:sz w:val="24"/>
          <w:szCs w:val="24"/>
          <w:u w:val="single"/>
        </w:rPr>
        <w:t>ARTÍCULO 2</w:t>
      </w:r>
      <w:r w:rsidRPr="00271D75">
        <w:rPr>
          <w:rFonts w:ascii="Arial" w:eastAsia="Calibri" w:hAnsi="Arial" w:cs="Arial"/>
          <w:b/>
          <w:bCs/>
          <w:sz w:val="24"/>
          <w:szCs w:val="24"/>
        </w:rPr>
        <w:t>:</w:t>
      </w:r>
      <w:r w:rsidRPr="00095B6A">
        <w:rPr>
          <w:rFonts w:ascii="Arial" w:eastAsia="Calibri" w:hAnsi="Arial" w:cs="Arial"/>
          <w:b/>
          <w:bCs/>
          <w:sz w:val="24"/>
          <w:szCs w:val="24"/>
        </w:rPr>
        <w:t xml:space="preserve"> </w:t>
      </w:r>
      <w:r w:rsidRPr="00095B6A">
        <w:rPr>
          <w:rFonts w:ascii="Arial" w:eastAsia="Times New Roman" w:hAnsi="Arial" w:cs="Arial"/>
          <w:sz w:val="24"/>
          <w:szCs w:val="24"/>
          <w:lang w:val="es-ES_tradnl" w:eastAsia="es-ES_tradnl"/>
        </w:rPr>
        <w:t>Regístrese, Notifíquese y oportunamente, archívese.</w:t>
      </w:r>
    </w:p>
    <w:p w:rsidR="00A34122" w:rsidRPr="00095B6A" w:rsidRDefault="00A34122" w:rsidP="00A34122">
      <w:pPr>
        <w:spacing w:after="0" w:line="360" w:lineRule="auto"/>
        <w:jc w:val="both"/>
        <w:rPr>
          <w:rFonts w:ascii="Arial" w:eastAsia="Calibri" w:hAnsi="Arial" w:cs="Arial"/>
          <w:b/>
          <w:bCs/>
          <w:sz w:val="24"/>
          <w:szCs w:val="24"/>
          <w:lang w:val="es-ES_tradnl"/>
        </w:rPr>
      </w:pPr>
    </w:p>
    <w:p w:rsidR="00A1549D" w:rsidRDefault="00A1549D" w:rsidP="00A34122">
      <w:pPr>
        <w:spacing w:after="0" w:line="360" w:lineRule="auto"/>
        <w:jc w:val="both"/>
        <w:rPr>
          <w:rFonts w:ascii="Arial" w:eastAsia="Calibri" w:hAnsi="Arial" w:cs="Arial"/>
          <w:b/>
          <w:bCs/>
          <w:sz w:val="24"/>
          <w:szCs w:val="24"/>
        </w:rPr>
      </w:pPr>
    </w:p>
    <w:p w:rsidR="00A1549D" w:rsidRDefault="00A1549D" w:rsidP="00A34122">
      <w:pPr>
        <w:spacing w:after="0" w:line="360" w:lineRule="auto"/>
        <w:jc w:val="both"/>
        <w:rPr>
          <w:rFonts w:ascii="Arial" w:eastAsia="Calibri" w:hAnsi="Arial" w:cs="Arial"/>
          <w:b/>
          <w:bCs/>
          <w:sz w:val="24"/>
          <w:szCs w:val="24"/>
        </w:rPr>
      </w:pPr>
    </w:p>
    <w:p w:rsidR="00A1549D" w:rsidRDefault="00A1549D" w:rsidP="00A1549D">
      <w:pPr>
        <w:spacing w:after="0" w:line="360" w:lineRule="auto"/>
        <w:jc w:val="both"/>
        <w:rPr>
          <w:rFonts w:ascii="Arial" w:eastAsia="Calibri" w:hAnsi="Arial" w:cs="Arial"/>
          <w:b/>
          <w:bCs/>
          <w:sz w:val="24"/>
          <w:szCs w:val="24"/>
        </w:rPr>
      </w:pPr>
    </w:p>
    <w:p w:rsidR="001E4325" w:rsidRDefault="00A34122" w:rsidP="00A1549D">
      <w:pPr>
        <w:spacing w:after="0" w:line="360" w:lineRule="auto"/>
        <w:jc w:val="both"/>
      </w:pPr>
      <w:r w:rsidRPr="00095B6A">
        <w:rPr>
          <w:rFonts w:ascii="Arial" w:eastAsia="Calibri" w:hAnsi="Arial" w:cs="Arial"/>
          <w:b/>
          <w:bCs/>
          <w:sz w:val="24"/>
          <w:szCs w:val="24"/>
        </w:rPr>
        <w:t>RESOLUCION Nº</w:t>
      </w:r>
      <w:r w:rsidRPr="00095B6A">
        <w:rPr>
          <w:rFonts w:ascii="Arial" w:eastAsia="Calibri" w:hAnsi="Arial" w:cs="Arial"/>
          <w:bCs/>
          <w:sz w:val="24"/>
          <w:szCs w:val="24"/>
        </w:rPr>
        <w:t xml:space="preserve">   </w:t>
      </w:r>
      <w:r w:rsidR="003F05F3">
        <w:rPr>
          <w:rFonts w:ascii="Arial" w:eastAsia="Calibri" w:hAnsi="Arial" w:cs="Arial"/>
          <w:bCs/>
          <w:sz w:val="24"/>
          <w:szCs w:val="24"/>
        </w:rPr>
        <w:t>3/17</w:t>
      </w:r>
    </w:p>
    <w:sectPr w:rsidR="001E4325" w:rsidSect="00A1549D">
      <w:pgSz w:w="12240" w:h="15840"/>
      <w:pgMar w:top="2552" w:right="1418"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122"/>
    <w:rsid w:val="001E4325"/>
    <w:rsid w:val="00372556"/>
    <w:rsid w:val="003F05F3"/>
    <w:rsid w:val="00A06F6A"/>
    <w:rsid w:val="00A1549D"/>
    <w:rsid w:val="00A34122"/>
    <w:rsid w:val="00A43724"/>
    <w:rsid w:val="00D06327"/>
    <w:rsid w:val="00FA42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1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341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41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1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341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41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F9FAF-A611-4749-A70F-49C21385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1062</Words>
  <Characters>5842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2016-12-26T15:51:00Z</cp:lastPrinted>
  <dcterms:created xsi:type="dcterms:W3CDTF">2017-01-20T14:51:00Z</dcterms:created>
  <dcterms:modified xsi:type="dcterms:W3CDTF">2017-03-29T16:10:00Z</dcterms:modified>
</cp:coreProperties>
</file>